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Obce Terany na základe ustanovení § 6 ods.1 zákona SNR č. 369/90 Zb. o obecnom zriadení neskorších predpisov, podľa § 7 ods. 4 zák.č. 583/2004 Z. z. a č.120/2006 Z.z. o rozpočtových pravidlách územnej samosprávy a o zmene a doplnení niektorých zákonov v platnom znení sa uznieslo na tomto Všeobecne záväznom nariadení (ďalej len VZN) a vydáva pre rok 2009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VŠEOBECNE ZÁVÄZNÉ NARIADENIE OBCE TERANY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č. 6/2008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 poskytovaní dotácií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Úvodné ustanovenia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VZN upravuje podmienky poskytnutia dotácií z rozpočtu obce Terany. Dotácie môžu byť poskytnuté fyzickým osobám – podnikateľom a právnickým osobám, ktoré majú sídlo alebo trvalý pobyt na území obce Terany ako aj právnickým osobám, ktorých zakladateľom je obec. Základnou podmienkou pre ich poskytnutie je skutočnosť, že obec má v rozpočte pre tento účel určené finančné prostriedky.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Účel poskytovania dotácií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Obec môže poskytovať dotácie z rozpočtových prostriedkov: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právnickým osobám, ktorých zakladateľom je obec, a to na konkrétne úlohy a akcie vo verejnom záujme alebo v prospech rozvoja územia obce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fyzickým osobám – podnikateľom ako aj právnickým osobám, ktorí majú sídlo alebo trvalý pobyt na území obce Terany a to len na podporu všeobecne prospešných služieb, všeobecne prospešných alebo verejnoprospešných účelov, na podporu podnikania a zamestnanosti.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Všeobecne prospešné služby sú najmä: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16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poskytovanie zdravotnej starostlivosti,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tvorba, rozvoj, ochrana, obnova a prezentácia duchovných a kultúrnych hodnôt,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ochrana ľudských práv a základných slobôd,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vzdelanie, výchova a rozvoj telesnej kultúry,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výskum, vývoj, vedecko-technické služby a informačné služby,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tvorba a ochrana životného prostredia a ochrana zdravia obyvateľstva,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služby na podporu regionálneho rozvoja a zamestnanosti,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zabezpečovanie bývania, správy, údržby a obnovy bytového fondu.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3) Verejnoprospešným účelom sa rozumie najmä: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16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rozvoj a ochrana duchovných a kultúrnych hodnôt,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realizácia a ochrana ľudských práv alebo iných humanitných cieľov,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ochrana a tvorba životného prostredia,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zachovanie prírodných hodnôt,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ochrana zdravia,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ochrana práv detí a mládeže,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rozvoj vedy,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vzdelanie,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telovýchova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before="0" w:beforeAutospacing="0" w:lineRule="auto"/>
        <w:ind w:left="880" w:right="160" w:hanging="360"/>
      </w:pPr>
      <w:r w:rsidDel="00000000" w:rsidR="00000000" w:rsidRPr="00000000">
        <w:rPr>
          <w:color w:val="444444"/>
          <w:sz w:val="23"/>
          <w:szCs w:val="23"/>
          <w:rtl w:val="0"/>
        </w:rPr>
        <w:t xml:space="preserve">plnenie individuálne určenej humanitnej pomoci pre jednotlivca alebo skupinu osôb, ktoré sa ocitli v ohrození života alebo potrebujú naliehavú pomoc pri postihnutí živelnou pohromou.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3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Podávanie žiadosti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Žiadosti oprávnených osôb, uvedených v § 2 ods. 1, o dotácie sa predkladajú za 1. polrok do 28. februára a za 2. polrok do 31. augusta príslušného roka. V príslušných orgánoch obce sa prejednávajú spravidla 2x do roka, za 1. polrok do 31. mája a za 2. polrok do 31. októbra príslušného roka.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Podkladom pre prejednanie je písomná žiadosť záujemcu o dotáciu.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Obec ukladá žiadateľom povinnosť deklarovať na predpísanom tlačive nasledovné náležitosti: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názov organizácie, sídlo, právna forma, IČO, bankové spojenie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mená autorov alebo ručiteľov projektu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prehľad doterajších činností a aktivít, dosiahnuté výsledky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 výška žiadanej dotácie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 konkrétneho zdôvodnenia príp. aj dokumentačný materiál na čo sa prostriedky použijú, termín zdokladovania použitia dotácie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 podpis a dátum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4. Žiadateľ o poskytnutie dotácie predloží žiadosť na obecný úrad za 1. polrok do 28. februára a za 2. polrok do 31. augusta príslušného roka.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4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Rozhodovanie a poskytovanie dotácií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O poskytnutí dotácií rozhoduje obecné zastupiteľstvo.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Nepoužité dotácie je žiadateľ povinný bezodkladne vrátiť na účet obce.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5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Záverečné ustanovenia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Poskytnuté dotácie podliehajú ročnému zúčtovaniu s rozpočtom obce.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Podľa tohoto VZN nevzniká žiadnemu subjektu nárok na poskytovanie dotácie.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center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6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Účinnosť Všeobecné záväzné nariadenie bolo schválené Obecným zastupiteľstvom dňa 05.12.2008 a nadobúda účinnosť dňa 01.01.2009.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VYVESENÉ: 08.12.2008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ZVESENÉ: 29.12.2008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Iveta Gajdošová</w:t>
        <w:br w:type="textWrapping"/>
        <w:t xml:space="preserve">starostka obce</w:t>
      </w:r>
    </w:p>
    <w:p w:rsidR="00000000" w:rsidDel="00000000" w:rsidP="00000000" w:rsidRDefault="00000000" w:rsidRPr="00000000" w14:paraId="0000003D">
      <w:pPr>
        <w:rPr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444444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444444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